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60" w:rsidRDefault="008B7D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7D60" w:rsidRDefault="008B7D60">
      <w:pPr>
        <w:pStyle w:val="ConsPlusNormal"/>
        <w:ind w:firstLine="540"/>
        <w:jc w:val="both"/>
        <w:outlineLvl w:val="0"/>
      </w:pPr>
    </w:p>
    <w:p w:rsidR="008B7D60" w:rsidRDefault="008B7D60">
      <w:pPr>
        <w:pStyle w:val="ConsPlusTitle"/>
        <w:jc w:val="center"/>
        <w:outlineLvl w:val="0"/>
      </w:pPr>
      <w:r>
        <w:t>ПРАВИТЕЛЬСТВО ВОРОНЕЖСКОЙ ОБЛАСТИ</w:t>
      </w:r>
    </w:p>
    <w:p w:rsidR="008B7D60" w:rsidRDefault="008B7D60">
      <w:pPr>
        <w:pStyle w:val="ConsPlusTitle"/>
        <w:ind w:firstLine="540"/>
        <w:jc w:val="both"/>
      </w:pPr>
    </w:p>
    <w:p w:rsidR="008B7D60" w:rsidRDefault="008B7D60">
      <w:pPr>
        <w:pStyle w:val="ConsPlusTitle"/>
        <w:jc w:val="center"/>
      </w:pPr>
      <w:r>
        <w:t>ПОСТАНОВЛЕНИЕ</w:t>
      </w:r>
    </w:p>
    <w:p w:rsidR="008B7D60" w:rsidRDefault="008B7D60">
      <w:pPr>
        <w:pStyle w:val="ConsPlusTitle"/>
        <w:jc w:val="center"/>
      </w:pPr>
      <w:r>
        <w:t>от 19 июля 2024 г. N 463</w:t>
      </w:r>
    </w:p>
    <w:p w:rsidR="008B7D60" w:rsidRDefault="008B7D60">
      <w:pPr>
        <w:pStyle w:val="ConsPlusTitle"/>
        <w:ind w:firstLine="540"/>
        <w:jc w:val="both"/>
      </w:pPr>
    </w:p>
    <w:p w:rsidR="008B7D60" w:rsidRDefault="008B7D60">
      <w:pPr>
        <w:pStyle w:val="ConsPlusTitle"/>
        <w:jc w:val="center"/>
      </w:pPr>
      <w:r>
        <w:t>ОБ ОТВЕТСТВЕННОМ ВЕДЕНИИ БИЗНЕСА В ВОРОНЕЖСКОЙ ОБЛАСТИ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Воронежской области от 01.12.2023 N 116-ОЗ "О развитии ответственного ведения бизнеса на территории Воронежской области" Правительство Воронежской области постановляет:</w:t>
      </w:r>
    </w:p>
    <w:p w:rsidR="008B7D60" w:rsidRDefault="008B7D60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1. Утвердить </w:t>
      </w:r>
      <w:hyperlink w:anchor="P28">
        <w:r>
          <w:rPr>
            <w:color w:val="0000FF"/>
          </w:rPr>
          <w:t>критерии</w:t>
        </w:r>
      </w:hyperlink>
      <w:r>
        <w:t xml:space="preserve"> признания юридического лица ответственной организацией согласно приложению N 1 к настоящему постановлению.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методику</w:t>
        </w:r>
      </w:hyperlink>
      <w:r>
        <w:t xml:space="preserve"> оценки соответствия юридического лица условиям, предусмотренным </w:t>
      </w:r>
      <w:hyperlink r:id="rId6">
        <w:r>
          <w:rPr>
            <w:color w:val="0000FF"/>
          </w:rPr>
          <w:t>частью 2 статьи 3</w:t>
        </w:r>
      </w:hyperlink>
      <w:r>
        <w:t xml:space="preserve"> Закона Воронежской области от 01.12.2023 N 116-ОЗ "О развитии ответственного ведения бизнеса на территории Воронежской области", и критериям признания юридического лица ответственной организацией согласно приложению N 2 к настоящему постановлению.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3. Определить министерство экономического развития Воронежской области уполномоченным исполнительным органом Воронежской области по проведению оценки соответствия юридического лица условиям, предусмотренным </w:t>
      </w:r>
      <w:hyperlink r:id="rId7">
        <w:r>
          <w:rPr>
            <w:color w:val="0000FF"/>
          </w:rPr>
          <w:t>частью 2 статьи 3</w:t>
        </w:r>
      </w:hyperlink>
      <w:r>
        <w:t xml:space="preserve"> Закона Воронежской области от 01.12.2023 N 116-ОЗ "О развитии ответственного ведения бизнеса на территории Воронежской области", и критериям признания юридического лица ответственной организацией, предусмотренным </w:t>
      </w:r>
      <w:hyperlink w:anchor="P9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первого заместителя председателя Правительства Воронежской области </w:t>
      </w:r>
      <w:proofErr w:type="spellStart"/>
      <w:r>
        <w:t>Кустова</w:t>
      </w:r>
      <w:proofErr w:type="spellEnd"/>
      <w:r>
        <w:t xml:space="preserve"> Д.А.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jc w:val="right"/>
      </w:pPr>
      <w:r>
        <w:t>Губернатор Воронежской области</w:t>
      </w:r>
    </w:p>
    <w:p w:rsidR="008B7D60" w:rsidRDefault="008B7D60">
      <w:pPr>
        <w:pStyle w:val="ConsPlusNormal"/>
        <w:jc w:val="right"/>
      </w:pPr>
      <w:r>
        <w:t>А.В.ГУСЕВ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jc w:val="right"/>
        <w:outlineLvl w:val="0"/>
      </w:pPr>
      <w:r>
        <w:t>Приложение N 1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jc w:val="right"/>
      </w:pPr>
      <w:r>
        <w:t>Утверждены</w:t>
      </w:r>
    </w:p>
    <w:p w:rsidR="008B7D60" w:rsidRDefault="008B7D60">
      <w:pPr>
        <w:pStyle w:val="ConsPlusNormal"/>
        <w:jc w:val="right"/>
      </w:pPr>
      <w:r>
        <w:t>постановлением</w:t>
      </w:r>
    </w:p>
    <w:p w:rsidR="008B7D60" w:rsidRDefault="008B7D60">
      <w:pPr>
        <w:pStyle w:val="ConsPlusNormal"/>
        <w:jc w:val="right"/>
      </w:pPr>
      <w:r>
        <w:t>Правительства Воронежской области</w:t>
      </w:r>
    </w:p>
    <w:p w:rsidR="008B7D60" w:rsidRDefault="008B7D60">
      <w:pPr>
        <w:pStyle w:val="ConsPlusNormal"/>
        <w:jc w:val="right"/>
      </w:pPr>
      <w:r>
        <w:t>от 19.07.2024 N 463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Title"/>
        <w:jc w:val="center"/>
      </w:pPr>
      <w:bookmarkStart w:id="1" w:name="P28"/>
      <w:bookmarkEnd w:id="1"/>
      <w:r>
        <w:t>КРИТЕРИИ</w:t>
      </w:r>
    </w:p>
    <w:p w:rsidR="008B7D60" w:rsidRDefault="008B7D60">
      <w:pPr>
        <w:pStyle w:val="ConsPlusTitle"/>
        <w:jc w:val="center"/>
      </w:pPr>
      <w:r>
        <w:t>ПРИЗНАНИЯ ЮРИДИЧЕСКОГО ЛИЦА ОТВЕТСТВЕННОЙ ОРГАНИЗАЦИЕЙ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  <w:r>
        <w:t>Критерии признания юридического лица ответственной организацией: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1) направление "Влияние на окружающую среду":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"Максимальный размер экологических платежей за один из трех последних календарных года (включая текущий календарный год)";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lastRenderedPageBreak/>
        <w:t>- критерий "Участие юридического лица в экологических проектах и акциях";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2) направление "Использование наилучших доступных технологий":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"Использование в деятельности юридического лица наилучших доступных технологий";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3) направление "Уровень заработной платы и наличие социального пакета для работников":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"Коэффициент средней заработной платы работников юридического лица";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"Публикация отчетов по корпоративной социальной ответственности";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"Доля сотрудников, охваченная коллективным договором";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единовременного или регулярного поощрения за стаж работы у юридического лица";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программ добровольного медицинского страхования, дополнительных компенсационных выплат за медицинские услуги";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"Систематическое оказание работнику дополнительной материальной поддержки в период его временной нетрудоспособности по медицинским показаниям, по причине ухода за близким родственником";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"Организация или стимулирование занятий спортом и физической культурой работников юридического лица";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"Возмещение затрат работников на оздоровительный отдых";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"Оплата юридическим лицом пребывания в организациях отдыха и оздоровления детей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"Оказание юридическим лицом материальной помощи работникам (их супругам) в период беременности";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выплат при рождении детей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выплат при рождении третьего и последующих детей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выплат при усыновлении детей работниками";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дополнительных особых условий рабочего режима, отпуска для многодетных родителей, родителей, имеющих на попечении ребенка-инвалида, родителей, воспитывающих несовершеннолетнего ребенка самостоятельно, без другого родителя (иного законного представителя ребенка)";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доплаты до среднего заработка работникам, находящимся в отпуске по уходу за ребенком";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дополнительных оплачиваемых выходных дней по случаю рождения ребенка, регистрации брака, иным семейным событиям";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дополнительных регулярных денежных выплат или иной материальной помощи на детей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- критерий "Наличие компенсации затрат работников на оплату детского сада и (или) иных дополнительных образовательных услуг для детей или организации детского сада (детской </w:t>
      </w:r>
      <w:r>
        <w:lastRenderedPageBreak/>
        <w:t>комнаты) и (или) иных дополнительных образовательных услуг для детей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"Финансовое и организационное содействие в получении высшего или среднего профессионального образования детьми работников";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"Доля работников, воспитывающих или воспитавших 3 и более детей";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жилищных программ, направленных на обеспечение работников собственным жильем";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"Предоставление работникам арендного жилья из корпоративного жилого фонда на льготных условиях или компенсация затрат работников на аренду жилья в определенных случаях";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корпоративных пенсионных программ или долгосрочных программ поддержания профессиональной мотивации (удержания сотрудников)";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"Наличие единовременных или регулярных выплат, иной помощи работникам, прекратившим свою трудовую деятельность в организации в связи с достижением пенсионного возраста";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"Предоставление подарков не менее чем половине всех работников и (или) членов их семей в честь государственных праздников, памятных для организации и сотрудников дат";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"Проведение юридическим лицом для работников мероприятий, направленных на укрепление семейных ценностей";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4) направление "Налоговая эффективность деятельности юридического лица":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"Отклонение налоговой нагрузки";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"Отсутствие существенной недоимки";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"Отсутствие иностранных юридических лиц, в том числе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в составе учредителей юридического лица";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"Отсутствие исполнительного производства, возбужденного в отношении юридического лица в соответствии с законодательством Российской Федерации об исполнительном производстве";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"Осуществление деятельности юридического лица более 5 лет с момента государственной регистрации";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- критерий "Отсутствие факта привлечения юридического лица к административной ответственности по </w:t>
      </w:r>
      <w:hyperlink r:id="rId8">
        <w:r>
          <w:rPr>
            <w:color w:val="0000FF"/>
          </w:rPr>
          <w:t>статье 19.28</w:t>
        </w:r>
      </w:hyperlink>
      <w:r>
        <w:t xml:space="preserve"> КоАП РФ";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"Отсутствие в реестре недобросовестных поставщиков";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"Отсутствие при исполнении государственных контрактов фактов нарушения сроков и (или) расторжения контрактов";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lastRenderedPageBreak/>
        <w:t>5) направление "Экономическая (финансовая) устойчивость юридического лица":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"Коэффициент текущей ликвидности";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"Коэффициент общей платежеспособности";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"Коэффициент автономии";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"Рентабельность активов";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- критерий "Рост </w:t>
      </w:r>
      <w:proofErr w:type="spellStart"/>
      <w:r>
        <w:t>внеоборотных</w:t>
      </w:r>
      <w:proofErr w:type="spellEnd"/>
      <w:r>
        <w:t xml:space="preserve"> активов";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"Социальные инвестиции в регион присутствия";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6) направление "Реализация экологических, социальных, образовательных, благотворительных и иных проектов, связанных с повышением уровня жизни и комфорта населения Воронежской области":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"Осуществление пожертвований на проведение благотворительных проектов, направленных на укрепление семейных ценностей, традиций, общества и безопасности страны";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- критерий "Реализация благотворительных проектов, направленных на укрепление семейных ценностей, традиций, общества и безопасности страны".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jc w:val="right"/>
        <w:outlineLvl w:val="0"/>
      </w:pPr>
      <w:r>
        <w:t>Приложение N 2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jc w:val="right"/>
      </w:pPr>
      <w:r>
        <w:t>Утверждена</w:t>
      </w:r>
    </w:p>
    <w:p w:rsidR="008B7D60" w:rsidRDefault="008B7D60">
      <w:pPr>
        <w:pStyle w:val="ConsPlusNormal"/>
        <w:jc w:val="right"/>
      </w:pPr>
      <w:r>
        <w:t>постановлением</w:t>
      </w:r>
    </w:p>
    <w:p w:rsidR="008B7D60" w:rsidRDefault="008B7D60">
      <w:pPr>
        <w:pStyle w:val="ConsPlusNormal"/>
        <w:jc w:val="right"/>
      </w:pPr>
      <w:r>
        <w:t>Правительства Воронежской области</w:t>
      </w:r>
    </w:p>
    <w:p w:rsidR="008B7D60" w:rsidRDefault="008B7D60">
      <w:pPr>
        <w:pStyle w:val="ConsPlusNormal"/>
        <w:jc w:val="right"/>
      </w:pPr>
      <w:r>
        <w:t>от 19.07.2024 N 463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Title"/>
        <w:jc w:val="center"/>
      </w:pPr>
      <w:bookmarkStart w:id="2" w:name="P95"/>
      <w:bookmarkEnd w:id="2"/>
      <w:r>
        <w:t>МЕТОДИКА</w:t>
      </w:r>
    </w:p>
    <w:p w:rsidR="008B7D60" w:rsidRDefault="008B7D60">
      <w:pPr>
        <w:pStyle w:val="ConsPlusTitle"/>
        <w:jc w:val="center"/>
      </w:pPr>
      <w:r>
        <w:t>ОЦЕНКИ СООТВЕТСТВИЯ ЮРИДИЧЕСКОГО ЛИЦА УСЛОВИЯМ,</w:t>
      </w:r>
    </w:p>
    <w:p w:rsidR="008B7D60" w:rsidRDefault="008B7D60">
      <w:pPr>
        <w:pStyle w:val="ConsPlusTitle"/>
        <w:jc w:val="center"/>
      </w:pPr>
      <w:r>
        <w:t>ПРЕДУСМОТРЕННЫМ ЧАСТЬЮ 2 СТАТЬИ 3 ЗАКОНА ВОРОНЕЖСКОЙ ОБЛАСТИ</w:t>
      </w:r>
    </w:p>
    <w:p w:rsidR="008B7D60" w:rsidRDefault="008B7D60">
      <w:pPr>
        <w:pStyle w:val="ConsPlusTitle"/>
        <w:jc w:val="center"/>
      </w:pPr>
      <w:r>
        <w:t>ОТ 01.12.2023 N 116-ОЗ "О РАЗВИТИИ ОТВЕТСТВЕННОГО ВЕДЕНИЯ</w:t>
      </w:r>
    </w:p>
    <w:p w:rsidR="008B7D60" w:rsidRDefault="008B7D60">
      <w:pPr>
        <w:pStyle w:val="ConsPlusTitle"/>
        <w:jc w:val="center"/>
      </w:pPr>
      <w:r>
        <w:t>БИЗНЕСА НА ТЕРРИТОРИИ ВОРОНЕЖСКОЙ ОБЛАСТИ", И КРИТЕРИЯМ</w:t>
      </w:r>
    </w:p>
    <w:p w:rsidR="008B7D60" w:rsidRDefault="008B7D60">
      <w:pPr>
        <w:pStyle w:val="ConsPlusTitle"/>
        <w:jc w:val="center"/>
      </w:pPr>
      <w:r>
        <w:t>ПРИЗНАНИЯ ЮРИДИЧЕСКОГО ЛИЦА ОТВЕТСТВЕННОЙ ОРГАНИЗАЦИЕЙ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  <w:r>
        <w:t xml:space="preserve">1. Настоящая методика определяет порядок проведения оценки соответствия юридических лиц условиям, предусмотренным </w:t>
      </w:r>
      <w:hyperlink r:id="rId9">
        <w:r>
          <w:rPr>
            <w:color w:val="0000FF"/>
          </w:rPr>
          <w:t>частью 2 статьи 3</w:t>
        </w:r>
      </w:hyperlink>
      <w:r>
        <w:t xml:space="preserve"> Закона Воронежской области от 01.12.2023 N 116-ОЗ "О развитии ответственного ведения бизнеса на территории Воронежской области", и </w:t>
      </w:r>
      <w:hyperlink w:anchor="P28">
        <w:r>
          <w:rPr>
            <w:color w:val="0000FF"/>
          </w:rPr>
          <w:t>критериям</w:t>
        </w:r>
      </w:hyperlink>
      <w:r>
        <w:t xml:space="preserve"> признания юридического лица ответственной организацией, утвержденным согласно приложению N 1 к постановлению Правительства Воронежской области "Об ответственном ведении бизнеса в Воронежской области" (далее - постановление).</w:t>
      </w:r>
    </w:p>
    <w:p w:rsidR="008B7D60" w:rsidRDefault="008B7D60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2. Для признания ответственной организацией юридическое лицо (далее - Заявитель) направляет в министерство экономического развития Воронежской области (далее - Уполномоченный орган) следующие документы: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а) заявление о признании юридического лица ответственной организацией (далее - заявление), подписанное Заявителем;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lastRenderedPageBreak/>
        <w:t>б) документы, подтверждающие полномочия лица на подписание заявления от имени Заявителя (копия решения о назначении или об избрании физического лица на должность либо приказа о его назначении на должность, в соответствии с которым такое физическое лицо обладает правом действовать от имени инвестора без доверенности; копия доверенности, выданной и оформленной в соответствии с гражданским законодательством);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в) согласие Заявителя на проведение оценки соответствия условиям и критериям, указанным в </w:t>
      </w:r>
      <w:hyperlink w:anchor="P115">
        <w:r>
          <w:rPr>
            <w:color w:val="0000FF"/>
          </w:rPr>
          <w:t>пункте 6</w:t>
        </w:r>
      </w:hyperlink>
      <w:r>
        <w:t xml:space="preserve"> настоящей методики, в соответствии с национальным стандартом Российской Федерации </w:t>
      </w:r>
      <w:hyperlink r:id="rId10">
        <w:r>
          <w:rPr>
            <w:color w:val="0000FF"/>
          </w:rPr>
          <w:t>ГОСТ Р 71198-2023</w:t>
        </w:r>
      </w:hyperlink>
      <w:r>
        <w:t xml:space="preserve"> "Индекс деловой репутации субъектов предпринимательской деятельности (ЭКГ-рейтинг). Методика оценки и порядок формирования ЭКГ-рейтинга ответственного бизнеса", утвержденным Приказом </w:t>
      </w:r>
      <w:proofErr w:type="spellStart"/>
      <w:r>
        <w:t>Росстандарта</w:t>
      </w:r>
      <w:proofErr w:type="spellEnd"/>
      <w:r>
        <w:t xml:space="preserve"> от 29.12.2023 N 1765-ст (далее - ЭКГ-рейтинг);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г) анкету участника ЭКГ-рейтинга по форме, утвержденной Уполномоченным органом, с приложением документов, подтверждающих сведения, указанные в анкете.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3. Документы, предусмотренные </w:t>
      </w:r>
      <w:hyperlink w:anchor="P103">
        <w:r>
          <w:rPr>
            <w:color w:val="0000FF"/>
          </w:rPr>
          <w:t>пунктом 2</w:t>
        </w:r>
      </w:hyperlink>
      <w:r>
        <w:t xml:space="preserve"> настоящей методики, представляются Заявителем или его представителем в Уполномоченный орган на бумажном носителе или в электронном виде на адрес электронной почты: econom@govvrn.ru.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4. Заявление должно содержать следующие сведения: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а) полное наименование Заявителя;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б) индивидуальный номер налогоплательщика Заявителя.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5. Уполномоченный орган рассматривает документы, предусмотренные </w:t>
      </w:r>
      <w:hyperlink w:anchor="P103">
        <w:r>
          <w:rPr>
            <w:color w:val="0000FF"/>
          </w:rPr>
          <w:t>пунктом 2</w:t>
        </w:r>
      </w:hyperlink>
      <w:r>
        <w:t xml:space="preserve"> настоящей методики, в течение десяти рабочих дней с даты регистрации заявления.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В случае несоответствия представленных инвестором документов перечню, указанному в </w:t>
      </w:r>
      <w:hyperlink w:anchor="P103">
        <w:r>
          <w:rPr>
            <w:color w:val="0000FF"/>
          </w:rPr>
          <w:t>пункте 2</w:t>
        </w:r>
      </w:hyperlink>
      <w:r>
        <w:t xml:space="preserve"> настоящей методики, Уполномоченный орган направляет Заявителю письмо о необходимости представления полного пакета документов в срок, не превышающий 10 календарных дней со дня получения письма.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В случае непредставления Заявителем недостающих документов в установленный срок дальнейшее рассмотрение документов прекращается, о чем Заявитель письменно уведомляется Уполномоченным органом в срок не более 10 календарных дней со дня окончания срока представления недостающих и (или) исправленных документов.</w:t>
      </w:r>
    </w:p>
    <w:p w:rsidR="008B7D60" w:rsidRDefault="008B7D60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6. Уполномоченный орган проводит оценку соответствия Заявителя условиям, предусмотренным </w:t>
      </w:r>
      <w:hyperlink r:id="rId11">
        <w:r>
          <w:rPr>
            <w:color w:val="0000FF"/>
          </w:rPr>
          <w:t>частью 2 статьи 3</w:t>
        </w:r>
      </w:hyperlink>
      <w:r>
        <w:t xml:space="preserve"> Закона Воронежской области от 01.12.2023 N 116-ОЗ "О развитии ответственного ведения бизнеса на территории Воронежской области" (далее - Закон N 116-ОЗ), и критериям признания юридического лица ответственной организацией, утвержденным согласно приложению N 1 к постановлению, в соответствии с ЭКГ-рейтингом в срок не более 30 рабочих дней со дня представления Заявителем документов, предусмотренных </w:t>
      </w:r>
      <w:hyperlink w:anchor="P103">
        <w:r>
          <w:rPr>
            <w:color w:val="0000FF"/>
          </w:rPr>
          <w:t>пунктом 2</w:t>
        </w:r>
      </w:hyperlink>
      <w:r>
        <w:t xml:space="preserve"> настоящей методики.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7. Уполномоченный орган направляет в экспертный совет по вопросам реализации стратегии социально-экономического развития области (далее - Экспертный совет) заключение об оценке соответствия Заявителя условиям и критериям, указанным в </w:t>
      </w:r>
      <w:hyperlink w:anchor="P115">
        <w:r>
          <w:rPr>
            <w:color w:val="0000FF"/>
          </w:rPr>
          <w:t>пункте 6</w:t>
        </w:r>
      </w:hyperlink>
      <w:r>
        <w:t xml:space="preserve"> настоящей методики, в котором указывается предложение о возможности (невозможности) признания Заявителя ответственной организацией.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8. По результатам рассмотрения Экспертным советом заключения об оценке соответствия Заявителя условиям и критериям, указанным в </w:t>
      </w:r>
      <w:hyperlink w:anchor="P115">
        <w:r>
          <w:rPr>
            <w:color w:val="0000FF"/>
          </w:rPr>
          <w:t>пункте 6</w:t>
        </w:r>
      </w:hyperlink>
      <w:r>
        <w:t xml:space="preserve"> настоящей методики, принимается соответствующее решение о возможности (невозможности) признания Заявителя ответственной </w:t>
      </w:r>
      <w:r>
        <w:lastRenderedPageBreak/>
        <w:t>организацией, которое оформляется решением Экспертного совета.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9. В случае признания Заявителя ответственной организацией Уполномоченный орган направляет Заявителю в течение пяти рабочих дней со дня принятия такого решения уведомление о признании Заявителя ответственной организацией.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В случае принятия решения об отказе в признании Заявителя ответственной организацией Уполномоченный орган направляет Заявителю уведомление в течение пяти рабочих дней со дня принятия такого решения.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10. Отказ в признании Заявителя ответственной организацией допускается по одному из следующих оснований: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а) предоставление неполных, недостоверных сведений Заявителем;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 xml:space="preserve">б) несоответствие Заявителя условиям, предусмотренным </w:t>
      </w:r>
      <w:hyperlink r:id="rId12">
        <w:r>
          <w:rPr>
            <w:color w:val="0000FF"/>
          </w:rPr>
          <w:t>частью 2 статьи 3</w:t>
        </w:r>
      </w:hyperlink>
      <w:r>
        <w:t xml:space="preserve"> Закона N 116-ОЗ, и </w:t>
      </w:r>
      <w:hyperlink w:anchor="P28">
        <w:r>
          <w:rPr>
            <w:color w:val="0000FF"/>
          </w:rPr>
          <w:t>критериям</w:t>
        </w:r>
      </w:hyperlink>
      <w:r>
        <w:t xml:space="preserve"> признания юридического лица ответственной организацией, утвержденным согласно приложению N 1 к постановлению;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в) несоответствие значения индекса деловой репутации Заявителя уровням "Лидер (ААА)" и "Продвинутый (АА)" ЭКГ-рейтинга (в случае осуществления оценки с учетом ЭКГ-рейтинга).</w:t>
      </w:r>
    </w:p>
    <w:p w:rsidR="008B7D60" w:rsidRDefault="008B7D60">
      <w:pPr>
        <w:pStyle w:val="ConsPlusNormal"/>
        <w:spacing w:before="220"/>
        <w:ind w:firstLine="540"/>
        <w:jc w:val="both"/>
      </w:pPr>
      <w:r>
        <w:t>11. Заявитель вправе устранить причины, послужившие основанием для отказа в признании ответственной организацией, и повторно обратиться в Уполномоченный орган.</w:t>
      </w: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ind w:firstLine="540"/>
        <w:jc w:val="both"/>
      </w:pPr>
    </w:p>
    <w:p w:rsidR="008B7D60" w:rsidRDefault="008B7D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8B4" w:rsidRDefault="00A148B4">
      <w:bookmarkStart w:id="5" w:name="_GoBack"/>
      <w:bookmarkEnd w:id="5"/>
    </w:p>
    <w:sectPr w:rsidR="00A148B4" w:rsidSect="00FC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60"/>
    <w:rsid w:val="008B7D60"/>
    <w:rsid w:val="00A1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67F2-D25A-40EE-90B4-9223B1D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D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D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4&amp;dst=26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19907&amp;dst=100022" TargetMode="External"/><Relationship Id="rId12" Type="http://schemas.openxmlformats.org/officeDocument/2006/relationships/hyperlink" Target="https://login.consultant.ru/link/?req=doc&amp;base=RLAW181&amp;n=119907&amp;dst=100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9907&amp;dst=100022" TargetMode="External"/><Relationship Id="rId11" Type="http://schemas.openxmlformats.org/officeDocument/2006/relationships/hyperlink" Target="https://login.consultant.ru/link/?req=doc&amp;base=RLAW181&amp;n=119907&amp;dst=100022" TargetMode="External"/><Relationship Id="rId5" Type="http://schemas.openxmlformats.org/officeDocument/2006/relationships/hyperlink" Target="https://login.consultant.ru/link/?req=doc&amp;base=RLAW181&amp;n=119907&amp;dst=100014" TargetMode="External"/><Relationship Id="rId10" Type="http://schemas.openxmlformats.org/officeDocument/2006/relationships/hyperlink" Target="https://login.consultant.ru/link/?req=doc&amp;base=OTN&amp;n=383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19907&amp;dst=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Людмила Ивановна</dc:creator>
  <cp:keywords/>
  <dc:description/>
  <cp:lastModifiedBy>Бирюкова Людмила Ивановна</cp:lastModifiedBy>
  <cp:revision>1</cp:revision>
  <cp:lastPrinted>2024-09-13T13:17:00Z</cp:lastPrinted>
  <dcterms:created xsi:type="dcterms:W3CDTF">2024-09-13T13:16:00Z</dcterms:created>
  <dcterms:modified xsi:type="dcterms:W3CDTF">2024-09-13T13:17:00Z</dcterms:modified>
</cp:coreProperties>
</file>